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D5" w:rsidRPr="00FF78D5" w:rsidRDefault="00FF78D5" w:rsidP="00FF78D5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b/>
          <w:color w:val="434343"/>
          <w:kern w:val="36"/>
          <w:sz w:val="24"/>
          <w:szCs w:val="24"/>
          <w:lang w:eastAsia="pl-PL"/>
        </w:rPr>
      </w:pPr>
      <w:r w:rsidRPr="00FF78D5">
        <w:rPr>
          <w:rFonts w:ascii="Arial" w:eastAsia="Times New Roman" w:hAnsi="Arial" w:cs="Arial"/>
          <w:b/>
          <w:color w:val="434343"/>
          <w:kern w:val="36"/>
          <w:sz w:val="24"/>
          <w:szCs w:val="24"/>
          <w:lang w:eastAsia="pl-PL"/>
        </w:rPr>
        <w:t>Podatek od nieruchomości osób fizycznych - naliczanie podatku</w:t>
      </w:r>
    </w:p>
    <w:p w:rsidR="00FF78D5" w:rsidRPr="00FF78D5" w:rsidRDefault="00FF78D5" w:rsidP="00FF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Podstawę opodatkowania stanowi: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1. dla gruntów – powierzchnia tych gruntów.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2. dla budynków lub ich części – powierzchnia użytkowa (z tym, że powierzchnie pomieszczeń lub ich części oraz część kondygnacji o wysokości w świetle od 1,40 m do 2,20 m zalicza się do powierzchni użytkowej budynku w 50 %, a jeżeli wysokość jest mniejsza niż 1,40 m, powierzchnię tę pomija się).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3. dla budowli lub ich części związanych z prowadzeniem działalności gospodarczej (z zastrzeżeniem art. 4 ust. 4-6 ustawy o podatkach i opłatach lokalnych) – wartość, o której mowa w przepisach o podatkach dochodowych, ustalona na dzień 1 stycznia roku podatkowego, stanowiąca podstawę obliczania amortyzacji w tym roku, niepomniejszona o odpisy amortyzacyjne, a w przypadku budowli całkowicie zamortyzowanych - ich wartość z dnia 1 stycznia roku, w którym dokonano ostatniego odpisu amortyzacyjnego.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a) jeżeli budowla, jest przedmiotem umowy leasingu i odpisów amortyzacyjnych dokonuje korzystający, w przypadku jej przejęcia przez właściciela, do celów określenia podstawy opodatkowania przyjmuje się wartość początkową przed zawarciem pierwszej umowy leasingu, zaktualizowaną i powiększoną o dokonane ulepszenia oraz niepomniejszoną o spłatę wartości początkowej (art. 4 ust. 4 ww. ustawy),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b) jeżeli od budowli lub ich części, nie dokonuje się odpisów amortyzacyjnych - podstawę opodatkowania stanowi ich wartość rynkowa, określona przez podatnika na dzień powstania obowiązku podatkowego (art. 4 ust. 5 ww. ustawy);jeżeli ww. budowle zostały ulepszone lub zgodnie z przepisami o podatkach dochodowych nastąpiła aktualizacja wyceny środków trwałych - podstawę opodatkowania stanowi ich wartość rynkowa ustalona na dzień 1 stycznia roku podatkowego następującego po roku, w którym dokonano ulepszenia lub aktualizacji wyceny środków trwałych (art. 4 ust. 5 i 6 ww. ustawy).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Obowiązek podatkowy powstaje od pierwszego dnia miesiąca następującego po miesiącu, w którym powstały okoliczności uzasadniające powstanie tego obowiązku.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Jeżeli okolicznością, od której uzależniony jest obowiązek podatkowy, jest istnienie budowli albo budynku lub jego części, obowiązek podatkowy powstaje z dniem 1 stycznia roku następującego po roku, w którym budowa została zakończona, albo w którym rozpoczęto użytkowanie budowli albo budynku lub ich części przed ich ostatecznym wykończeniem.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Obowiązek podatkowy wygasa z upływem miesiąca, w którym ustały okoliczności uzasadniające ten obowiązek, np. sprzedaż nieruchomości.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Wymiar podatku od nieruchomości dla osób fizycznych ustala organ podatkowy w drodze decyzji.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 przypadku, gdy wysokość zobowiązania nie przekracza kwoty najniższych kosztów doręczenia w obrocie krajowym przesyłki poleconej – decyzje nie są wydawane.</w:t>
      </w:r>
    </w:p>
    <w:p w:rsidR="00FF78D5" w:rsidRPr="00FF78D5" w:rsidRDefault="00FF78D5" w:rsidP="00FF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Podatnikami podatku od nieruchomości są osoby fizyczne, osoby prawne, jednostki organizacyjne, w tym spółki niemające osobowości prawnej, będące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1. właścicielami nieruchomości lub obiektów budowlanych;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2. posiadaczami samoistnymi nieruchomości lub obiektów budowlanych;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3. użytkownikami wieczystymi gruntów;</w:t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 xml:space="preserve">4. posiadaczami nieruchomości lub ich części albo obiektów budowlanych lub ich części, stanowiących własność Skarbu Państwa lub jednostki samorządu terytorialnego, jeżeli posiadanie wynika z umowy zawartej z właścicielem, Agencją Nieruchomości Rolnych lub z innego tytułu prawnego (z wyjątkiem posiadania przez osoby fizyczne lokali mieszkalnych niestanowiących odrębnych nieruchomości) lub jest bez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tytułu prawnego.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</w:p>
    <w:p w:rsidR="00FF78D5" w:rsidRPr="00FF78D5" w:rsidRDefault="00FF78D5" w:rsidP="00FF78D5">
      <w:pPr>
        <w:shd w:val="clear" w:color="auto" w:fill="FFFFFF"/>
        <w:spacing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F78D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Wpłaty z tytułu podatku od nieruchomości osoby fizyczne winny dokonywać na indywidualne rachunki przypisane podatnikom.</w:t>
      </w:r>
    </w:p>
    <w:p w:rsidR="00FF78D5" w:rsidRDefault="00FF78D5" w:rsidP="007C54E0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color w:val="434343"/>
          <w:kern w:val="36"/>
          <w:sz w:val="24"/>
          <w:szCs w:val="24"/>
          <w:lang w:eastAsia="pl-PL"/>
        </w:rPr>
      </w:pPr>
    </w:p>
    <w:p w:rsidR="007C54E0" w:rsidRPr="007C54E0" w:rsidRDefault="007C54E0" w:rsidP="007C54E0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b/>
          <w:color w:val="434343"/>
          <w:kern w:val="36"/>
          <w:sz w:val="24"/>
          <w:szCs w:val="24"/>
          <w:lang w:eastAsia="pl-PL"/>
        </w:rPr>
      </w:pPr>
      <w:r w:rsidRPr="007C54E0">
        <w:rPr>
          <w:rFonts w:ascii="Arial" w:eastAsia="Times New Roman" w:hAnsi="Arial" w:cs="Arial"/>
          <w:b/>
          <w:color w:val="434343"/>
          <w:kern w:val="36"/>
          <w:sz w:val="24"/>
          <w:szCs w:val="24"/>
          <w:lang w:eastAsia="pl-PL"/>
        </w:rPr>
        <w:t>Podatek od nieruchomości osób prawnych lub osób fizycznych będących we współwłasności z osobami prawnymi - naliczanie podatku</w:t>
      </w:r>
    </w:p>
    <w:p w:rsidR="007C54E0" w:rsidRPr="007C54E0" w:rsidRDefault="007C54E0" w:rsidP="007C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br/>
        <w:t>Podatnikami podatku od nieruchomości są osoby fizyczne, osoby prawne, jednostki organizacyjne, w tym spółki niemające osobowości prawnej, będące: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1. właścicielami nieruchomości lub obiektów budowlanych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2. posiadaczami samoistnymi nieruchomości lub obiektów budowlanych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3. użytkownikami wieczystymi gruntów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4. posiadaczami nieruchomości lub ich części albo obiektów budowlanych lub ich części, stanowiących własność Skarbu Państwa lub jednostki samorządu terytorialnego, jeżeli posiadanie wynika z umowy zawartej z właścicielem, Agencją Nieruchomości Rolnych lub z innego tytułu prawnego (z wyjątkiem posiadania przez osoby fizyczne lokali mieszkalnych niestanowiących odrębnych nieruchomości) lub jest bez tytułu prawnego.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Jeżeli nieruchomość lub obiekt budowlany stanowi współwłasność lub znajduje się w posiadaniu dwóch lub więcej podmiotów, to stanowi odrębny przedmiot opodatkowania, a obowiązek podatkowy od nieruchomości lub obiektu budowlanego ciąży solidarnie na wszystkich współwłaścicielach lub posiadaczach.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Zasady odpowiedzialności solidarnej za zobowiązanie podatkowe, o której mowa powyżej, nie stosuje się przy współwłasności w częściach ułamkowych lokalu użytkowego - garażu wielostanowiskowego w budynku mieszkalnym wraz z gruntem stanowiących odrębny przedmiot własności. W takiej sytuacji obowiązek podatkowy ciąży na współwłaścicielach w zakresie odpowiadającym ich udziałowi w prawie własności. Przepisu art. 6 ust. 11 nie stosuje się. Zasady odpowiedzialności solidarnej za zobowiązanie podatkowe, o której mowa powyżej, nie stosuje się również, jeżeli jeden lub kilku współwłaścicieli lub posiadaczy jest zwolnionych od podatku od nieruchomości albo nie podlega temu podatkowi. W takiej sytuacji obowiązek podatkowy ciąży solidarnie na współwłaścicielach lub posiadaczach, którzy podlegają podatkowi od nieruchomości oraz nie są zwolnieni od tego podatku, w zakresie odpowiadającym ich łącznemu udziałowi w prawie własności lub posiadaniu.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Jeżeli nieruchomość lub obiekt budowlany stanowi współwłasność lub znajduje się w posiadaniu osób fizycznych oraz osób prawnych, jednostek organizacyjnych nieposiadających osobowości prawnej lub spółek nieposiadających osobowości prawnej, z wyjątkiem osób tworzących wspólnotę mieszkaniową, osoby fizyczne składają deklarację na podatek od nieruchomości oraz opłacają podatek na zasadach obowiązujących osoby prawne (art. 6 ust. 11 ustawy o p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odatkach i opłatach lokalnych).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bookmarkStart w:id="0" w:name="_GoBack"/>
      <w:bookmarkEnd w:id="0"/>
    </w:p>
    <w:p w:rsidR="007C54E0" w:rsidRPr="007C54E0" w:rsidRDefault="007C54E0" w:rsidP="007C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Terminy płatności: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Osoby prawne, jednostki organizacyjne oraz spółki niemające osobowości prawnej, jednostki organizacyjne Agencji Nieruchomości Rolnych, a także jednostki organizacyjne Państwowego Gospodarstwa Leśnego Lasy Państwowe są obowiązane wpłacać obliczony w deklaracji podatek od nieruchomości - bez wezwania - na rachunek właściwej gminy, w ratach proporcjonalnych do czasu trwania obowiązku podatkowego, w terminie do dnia 15 każdego miesiąca, a za styczeń do dnia 31 stycznia.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 przypadku, gdy kwota podatku nie przekracza 100 zł, podatek jest płatny jednorazowo w terminie płatności pierwszej raty.</w:t>
      </w: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</w:p>
    <w:p w:rsidR="007C54E0" w:rsidRPr="007C54E0" w:rsidRDefault="007C54E0" w:rsidP="007C54E0">
      <w:pPr>
        <w:shd w:val="clear" w:color="auto" w:fill="FFFFFF"/>
        <w:spacing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7C54E0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Wpłaty z tytułu podatku od nieruchomości osoby fizyczne i prawne winny dokonywać na indywidualne rachunki przypisane podatnikom.</w:t>
      </w:r>
    </w:p>
    <w:p w:rsidR="00A17320" w:rsidRDefault="00A17320"/>
    <w:sectPr w:rsidR="00A1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68E8"/>
    <w:multiLevelType w:val="multilevel"/>
    <w:tmpl w:val="D29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83665A"/>
    <w:multiLevelType w:val="multilevel"/>
    <w:tmpl w:val="BD3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C86F82"/>
    <w:multiLevelType w:val="multilevel"/>
    <w:tmpl w:val="3C4C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49"/>
    <w:rsid w:val="007C54E0"/>
    <w:rsid w:val="00833B49"/>
    <w:rsid w:val="00A1732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6068-63D6-4652-AEDD-3C13D456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5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4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306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11028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CC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8078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1734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202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366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838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CC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249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9235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1276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683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8430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CC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865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75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7213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6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996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Ołów</dc:creator>
  <cp:keywords/>
  <dc:description/>
  <cp:lastModifiedBy>Bogumiła Ołów</cp:lastModifiedBy>
  <cp:revision>3</cp:revision>
  <dcterms:created xsi:type="dcterms:W3CDTF">2023-03-22T14:45:00Z</dcterms:created>
  <dcterms:modified xsi:type="dcterms:W3CDTF">2023-03-22T14:54:00Z</dcterms:modified>
</cp:coreProperties>
</file>